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466" w:rsidRDefault="006E394C">
      <w:pPr>
        <w:pStyle w:val="BodyText"/>
        <w:ind w:left="1308"/>
        <w:rPr>
          <w:rFonts w:ascii="Times New Roman"/>
          <w:sz w:val="20"/>
        </w:rPr>
      </w:pPr>
      <w:r>
        <w:rPr>
          <w:rFonts w:ascii="Times New Roman"/>
          <w:noProof/>
          <w:sz w:val="20"/>
          <w:lang w:bidi="ar-SA"/>
        </w:rPr>
        <w:drawing>
          <wp:inline distT="0" distB="0" distL="0" distR="0">
            <wp:extent cx="5225121" cy="99526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5225121" cy="995267"/>
                    </a:xfrm>
                    <a:prstGeom prst="rect">
                      <a:avLst/>
                    </a:prstGeom>
                  </pic:spPr>
                </pic:pic>
              </a:graphicData>
            </a:graphic>
          </wp:inline>
        </w:drawing>
      </w:r>
    </w:p>
    <w:p w:rsidR="00CF0466" w:rsidRDefault="00CF0466">
      <w:pPr>
        <w:pStyle w:val="BodyText"/>
        <w:rPr>
          <w:rFonts w:ascii="Times New Roman"/>
          <w:sz w:val="18"/>
        </w:rPr>
      </w:pPr>
    </w:p>
    <w:p w:rsidR="00CF0466" w:rsidRDefault="006E394C">
      <w:pPr>
        <w:spacing w:before="44"/>
        <w:ind w:left="3129"/>
        <w:rPr>
          <w:b/>
          <w:sz w:val="28"/>
        </w:rPr>
      </w:pPr>
      <w:r>
        <w:rPr>
          <w:b/>
          <w:color w:val="73675A"/>
          <w:sz w:val="28"/>
        </w:rPr>
        <w:t>Endowment Fund Application Guidelines</w:t>
      </w:r>
    </w:p>
    <w:p w:rsidR="00CF0466" w:rsidRDefault="00CF0466">
      <w:pPr>
        <w:pStyle w:val="BodyText"/>
        <w:rPr>
          <w:b/>
          <w:sz w:val="28"/>
        </w:rPr>
      </w:pPr>
    </w:p>
    <w:p w:rsidR="00CF0466" w:rsidRDefault="00CF0466">
      <w:pPr>
        <w:pStyle w:val="BodyText"/>
        <w:spacing w:before="11"/>
        <w:rPr>
          <w:b/>
          <w:sz w:val="26"/>
        </w:rPr>
      </w:pPr>
    </w:p>
    <w:p w:rsidR="00CF0466" w:rsidRDefault="006E394C">
      <w:pPr>
        <w:spacing w:before="1"/>
        <w:ind w:left="100"/>
        <w:rPr>
          <w:rFonts w:ascii="Arial"/>
          <w:i/>
          <w:sz w:val="21"/>
        </w:rPr>
      </w:pPr>
      <w:r>
        <w:rPr>
          <w:b/>
          <w:sz w:val="23"/>
        </w:rPr>
        <w:t xml:space="preserve">The mission of St. Luke Lutheran Church: </w:t>
      </w:r>
      <w:r>
        <w:rPr>
          <w:rFonts w:ascii="Arial"/>
          <w:i/>
          <w:color w:val="333333"/>
          <w:sz w:val="21"/>
        </w:rPr>
        <w:t>Proclaim, Serve and Witness to the Gospel of Jesus Christ.</w:t>
      </w:r>
    </w:p>
    <w:p w:rsidR="00CF0466" w:rsidRDefault="00CF0466">
      <w:pPr>
        <w:pStyle w:val="BodyText"/>
        <w:rPr>
          <w:rFonts w:ascii="Arial"/>
          <w:i/>
          <w:sz w:val="21"/>
        </w:rPr>
      </w:pPr>
    </w:p>
    <w:p w:rsidR="00CF0466" w:rsidRDefault="006E394C">
      <w:pPr>
        <w:pStyle w:val="Heading1"/>
        <w:spacing w:before="1"/>
      </w:pPr>
      <w:r>
        <w:t>Grant Guidelines and Procedures:</w:t>
      </w:r>
    </w:p>
    <w:p w:rsidR="00CF0466" w:rsidRDefault="00CF0466">
      <w:pPr>
        <w:pStyle w:val="BodyText"/>
        <w:spacing w:before="10"/>
        <w:rPr>
          <w:b/>
          <w:sz w:val="19"/>
        </w:rPr>
      </w:pPr>
    </w:p>
    <w:p w:rsidR="00CF0466" w:rsidRDefault="006E394C">
      <w:pPr>
        <w:pStyle w:val="BodyText"/>
        <w:spacing w:line="276" w:lineRule="auto"/>
        <w:ind w:left="100" w:right="89" w:firstLine="720"/>
      </w:pPr>
      <w:r>
        <w:t>The purpose of the St. Luke Lutheran Church Endowment Fund shall be to use the income and discretionary principal there from to further the ministry of Our Lord</w:t>
      </w:r>
      <w:r w:rsidR="00DD23E5">
        <w:t xml:space="preserve"> and Savior Jesus Christ.</w:t>
      </w:r>
    </w:p>
    <w:p w:rsidR="00CF0466" w:rsidRDefault="00CF0466">
      <w:pPr>
        <w:pStyle w:val="BodyText"/>
        <w:spacing w:before="5"/>
        <w:rPr>
          <w:sz w:val="16"/>
        </w:rPr>
      </w:pPr>
    </w:p>
    <w:p w:rsidR="00CF0466" w:rsidRDefault="006E394C">
      <w:pPr>
        <w:pStyle w:val="BodyText"/>
        <w:spacing w:line="276" w:lineRule="auto"/>
        <w:ind w:left="100" w:firstLine="720"/>
      </w:pPr>
      <w:r>
        <w:t>The Endowment receives many grant requests each year, but it can only fund a few of all the worthy requests. The guidelines and procedures have been set forth by the endowment board to make the process easier for those applying and to help make the best choice in the proposals for the year. The mission statement of St.</w:t>
      </w:r>
    </w:p>
    <w:p w:rsidR="00CF0466" w:rsidRDefault="006E394C">
      <w:pPr>
        <w:pStyle w:val="BodyText"/>
        <w:spacing w:line="276" w:lineRule="auto"/>
        <w:ind w:left="100" w:right="232"/>
      </w:pPr>
      <w:r>
        <w:t>Luke Lutheran Church is used by the Endowment as a basis to focus on the areas of: community outreach through ministry, education and philanthropy.</w:t>
      </w:r>
    </w:p>
    <w:p w:rsidR="00CF0466" w:rsidRDefault="00CF0466">
      <w:pPr>
        <w:pStyle w:val="BodyText"/>
        <w:spacing w:before="5"/>
        <w:rPr>
          <w:sz w:val="16"/>
        </w:rPr>
      </w:pPr>
    </w:p>
    <w:p w:rsidR="00CF0466" w:rsidRDefault="006E394C">
      <w:pPr>
        <w:pStyle w:val="ListParagraph"/>
        <w:numPr>
          <w:ilvl w:val="0"/>
          <w:numId w:val="1"/>
        </w:numPr>
        <w:tabs>
          <w:tab w:val="left" w:pos="1181"/>
        </w:tabs>
        <w:spacing w:line="276" w:lineRule="auto"/>
        <w:ind w:right="348"/>
        <w:rPr>
          <w:sz w:val="23"/>
        </w:rPr>
      </w:pPr>
      <w:r>
        <w:rPr>
          <w:sz w:val="23"/>
        </w:rPr>
        <w:t>Community Outreach: Our community outreach through ministry focuses primarily on ministering to social needs in the Pee Dee area. The social needs must be substantiated through</w:t>
      </w:r>
      <w:r>
        <w:rPr>
          <w:spacing w:val="-26"/>
          <w:sz w:val="23"/>
        </w:rPr>
        <w:t xml:space="preserve"> </w:t>
      </w:r>
      <w:r>
        <w:rPr>
          <w:sz w:val="23"/>
        </w:rPr>
        <w:t>documentation.</w:t>
      </w:r>
    </w:p>
    <w:p w:rsidR="00CF0466" w:rsidRDefault="006E394C">
      <w:pPr>
        <w:pStyle w:val="ListParagraph"/>
        <w:numPr>
          <w:ilvl w:val="0"/>
          <w:numId w:val="1"/>
        </w:numPr>
        <w:tabs>
          <w:tab w:val="left" w:pos="1181"/>
        </w:tabs>
        <w:spacing w:line="276" w:lineRule="auto"/>
        <w:ind w:right="248"/>
        <w:rPr>
          <w:sz w:val="23"/>
        </w:rPr>
      </w:pPr>
      <w:r>
        <w:rPr>
          <w:sz w:val="23"/>
        </w:rPr>
        <w:t>Education: The education grants focus on providing Christian education programs throughout the Pee Dee area.</w:t>
      </w:r>
    </w:p>
    <w:p w:rsidR="00CF0466" w:rsidRDefault="006E394C">
      <w:pPr>
        <w:pStyle w:val="ListParagraph"/>
        <w:numPr>
          <w:ilvl w:val="0"/>
          <w:numId w:val="1"/>
        </w:numPr>
        <w:tabs>
          <w:tab w:val="left" w:pos="1181"/>
        </w:tabs>
        <w:spacing w:line="276" w:lineRule="auto"/>
        <w:ind w:right="647"/>
        <w:rPr>
          <w:sz w:val="23"/>
        </w:rPr>
      </w:pPr>
      <w:r>
        <w:rPr>
          <w:sz w:val="23"/>
        </w:rPr>
        <w:t>Philanthropy: Our philanthropic grants focus on supporting and nurturing the missions of St. Luke Lutheran Church as well as other charitable</w:t>
      </w:r>
      <w:r>
        <w:rPr>
          <w:spacing w:val="-4"/>
          <w:sz w:val="23"/>
        </w:rPr>
        <w:t xml:space="preserve"> </w:t>
      </w:r>
      <w:r>
        <w:rPr>
          <w:sz w:val="23"/>
        </w:rPr>
        <w:t>organizations.</w:t>
      </w:r>
    </w:p>
    <w:p w:rsidR="00CF0466" w:rsidRDefault="00CF0466">
      <w:pPr>
        <w:pStyle w:val="BodyText"/>
        <w:spacing w:before="1"/>
        <w:rPr>
          <w:sz w:val="30"/>
        </w:rPr>
      </w:pPr>
    </w:p>
    <w:p w:rsidR="00CF0466" w:rsidRDefault="006E394C">
      <w:pPr>
        <w:pStyle w:val="Heading1"/>
      </w:pPr>
      <w:r>
        <w:t>The Endowment generally does not support the following:</w:t>
      </w:r>
    </w:p>
    <w:p w:rsidR="00CF0466" w:rsidRDefault="00CF0466">
      <w:pPr>
        <w:pStyle w:val="BodyText"/>
        <w:spacing w:before="10"/>
        <w:rPr>
          <w:b/>
          <w:sz w:val="19"/>
        </w:rPr>
      </w:pPr>
    </w:p>
    <w:p w:rsidR="00CF0466" w:rsidRDefault="006E394C">
      <w:pPr>
        <w:pStyle w:val="ListParagraph"/>
        <w:numPr>
          <w:ilvl w:val="1"/>
          <w:numId w:val="1"/>
        </w:numPr>
        <w:tabs>
          <w:tab w:val="left" w:pos="1540"/>
          <w:tab w:val="left" w:pos="1541"/>
        </w:tabs>
        <w:rPr>
          <w:sz w:val="23"/>
        </w:rPr>
      </w:pPr>
      <w:r>
        <w:rPr>
          <w:sz w:val="23"/>
        </w:rPr>
        <w:t>Loans or cash grants to</w:t>
      </w:r>
      <w:r>
        <w:rPr>
          <w:spacing w:val="-2"/>
          <w:sz w:val="23"/>
        </w:rPr>
        <w:t xml:space="preserve"> </w:t>
      </w:r>
      <w:r>
        <w:rPr>
          <w:sz w:val="23"/>
        </w:rPr>
        <w:t>individuals</w:t>
      </w:r>
    </w:p>
    <w:p w:rsidR="00CF0466" w:rsidRDefault="006E394C">
      <w:pPr>
        <w:pStyle w:val="ListParagraph"/>
        <w:numPr>
          <w:ilvl w:val="1"/>
          <w:numId w:val="1"/>
        </w:numPr>
        <w:tabs>
          <w:tab w:val="left" w:pos="1540"/>
          <w:tab w:val="left" w:pos="1541"/>
        </w:tabs>
        <w:spacing w:before="43"/>
        <w:rPr>
          <w:sz w:val="23"/>
        </w:rPr>
      </w:pPr>
      <w:r>
        <w:rPr>
          <w:sz w:val="23"/>
        </w:rPr>
        <w:t>Requests to settle debts of individuals and</w:t>
      </w:r>
      <w:r>
        <w:rPr>
          <w:spacing w:val="-3"/>
          <w:sz w:val="23"/>
        </w:rPr>
        <w:t xml:space="preserve"> </w:t>
      </w:r>
      <w:r>
        <w:rPr>
          <w:sz w:val="23"/>
        </w:rPr>
        <w:t>organizations</w:t>
      </w:r>
      <w:r w:rsidR="00DD23E5">
        <w:rPr>
          <w:sz w:val="23"/>
        </w:rPr>
        <w:t>, including loans and mortgages</w:t>
      </w:r>
    </w:p>
    <w:p w:rsidR="00CF0466" w:rsidRDefault="006E394C">
      <w:pPr>
        <w:pStyle w:val="ListParagraph"/>
        <w:numPr>
          <w:ilvl w:val="1"/>
          <w:numId w:val="1"/>
        </w:numPr>
        <w:tabs>
          <w:tab w:val="left" w:pos="1540"/>
          <w:tab w:val="left" w:pos="1541"/>
        </w:tabs>
        <w:spacing w:before="43"/>
        <w:rPr>
          <w:sz w:val="23"/>
        </w:rPr>
      </w:pPr>
      <w:r>
        <w:rPr>
          <w:sz w:val="23"/>
        </w:rPr>
        <w:t>Endowments</w:t>
      </w:r>
    </w:p>
    <w:p w:rsidR="00CF0466" w:rsidRDefault="006E394C">
      <w:pPr>
        <w:pStyle w:val="ListParagraph"/>
        <w:numPr>
          <w:ilvl w:val="1"/>
          <w:numId w:val="1"/>
        </w:numPr>
        <w:tabs>
          <w:tab w:val="left" w:pos="1540"/>
          <w:tab w:val="left" w:pos="1541"/>
        </w:tabs>
        <w:spacing w:before="41"/>
        <w:rPr>
          <w:sz w:val="23"/>
        </w:rPr>
      </w:pPr>
      <w:r>
        <w:rPr>
          <w:sz w:val="23"/>
        </w:rPr>
        <w:t>Government/political</w:t>
      </w:r>
      <w:r>
        <w:rPr>
          <w:spacing w:val="-1"/>
          <w:sz w:val="23"/>
        </w:rPr>
        <w:t xml:space="preserve"> </w:t>
      </w:r>
      <w:r>
        <w:rPr>
          <w:sz w:val="23"/>
        </w:rPr>
        <w:t>programs</w:t>
      </w:r>
    </w:p>
    <w:p w:rsidR="00CF0466" w:rsidRDefault="006E394C">
      <w:pPr>
        <w:pStyle w:val="ListParagraph"/>
        <w:numPr>
          <w:ilvl w:val="1"/>
          <w:numId w:val="1"/>
        </w:numPr>
        <w:tabs>
          <w:tab w:val="left" w:pos="1540"/>
          <w:tab w:val="left" w:pos="1541"/>
        </w:tabs>
        <w:spacing w:before="43"/>
        <w:rPr>
          <w:sz w:val="23"/>
        </w:rPr>
      </w:pPr>
      <w:r>
        <w:rPr>
          <w:sz w:val="23"/>
        </w:rPr>
        <w:t>No recurring budget line items or general expenses for St. Luke Lutheran</w:t>
      </w:r>
      <w:r>
        <w:rPr>
          <w:spacing w:val="-7"/>
          <w:sz w:val="23"/>
        </w:rPr>
        <w:t xml:space="preserve"> </w:t>
      </w:r>
      <w:r>
        <w:rPr>
          <w:sz w:val="23"/>
        </w:rPr>
        <w:t>Church</w:t>
      </w:r>
      <w:r w:rsidR="00DD23E5">
        <w:rPr>
          <w:sz w:val="23"/>
        </w:rPr>
        <w:t>.  However, the Endowment Committee may support special projects for any standing Committee of St. Luke Lutheran  Church</w:t>
      </w:r>
    </w:p>
    <w:p w:rsidR="00CF0466" w:rsidRDefault="00CF0466">
      <w:pPr>
        <w:pStyle w:val="BodyText"/>
        <w:rPr>
          <w:sz w:val="28"/>
        </w:rPr>
      </w:pPr>
    </w:p>
    <w:p w:rsidR="00CF0466" w:rsidRDefault="00CF0466">
      <w:pPr>
        <w:pStyle w:val="BodyText"/>
        <w:rPr>
          <w:sz w:val="22"/>
        </w:rPr>
      </w:pPr>
    </w:p>
    <w:p w:rsidR="00CF0466" w:rsidRDefault="006E394C" w:rsidP="00F8090A">
      <w:pPr>
        <w:pStyle w:val="BodyText"/>
        <w:spacing w:line="276" w:lineRule="auto"/>
        <w:ind w:left="100" w:right="89"/>
      </w:pPr>
      <w:r>
        <w:t>After reviewing the information abo</w:t>
      </w:r>
      <w:r w:rsidR="00F8090A">
        <w:t>ve, submit your completed application to endowmentstluke@gmail.com</w:t>
      </w:r>
      <w:bookmarkStart w:id="0" w:name="_GoBack"/>
      <w:bookmarkEnd w:id="0"/>
      <w:r>
        <w:t>. Applications will be accepted from October 1</w:t>
      </w:r>
      <w:r>
        <w:rPr>
          <w:vertAlign w:val="superscript"/>
        </w:rPr>
        <w:t>st</w:t>
      </w:r>
      <w:r>
        <w:t xml:space="preserve"> to December 31</w:t>
      </w:r>
      <w:r>
        <w:rPr>
          <w:vertAlign w:val="superscript"/>
        </w:rPr>
        <w:t>st</w:t>
      </w:r>
      <w:r>
        <w:t>. Grant applications are only good for one year and must be resubmitted to apply again. Those applications will be reviewed according to the purpose of the Endowment Fund and awarded annually on March 31</w:t>
      </w:r>
      <w:r>
        <w:rPr>
          <w:vertAlign w:val="superscript"/>
        </w:rPr>
        <w:t>st</w:t>
      </w:r>
      <w:r>
        <w:t>.</w:t>
      </w:r>
    </w:p>
    <w:sectPr w:rsidR="00CF0466">
      <w:type w:val="continuous"/>
      <w:pgSz w:w="12240" w:h="15840"/>
      <w:pgMar w:top="720" w:right="64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5836FE"/>
    <w:multiLevelType w:val="hybridMultilevel"/>
    <w:tmpl w:val="C45803A2"/>
    <w:lvl w:ilvl="0" w:tplc="BEAC75E4">
      <w:start w:val="1"/>
      <w:numFmt w:val="upperLetter"/>
      <w:lvlText w:val="%1."/>
      <w:lvlJc w:val="left"/>
      <w:pPr>
        <w:ind w:left="1180" w:hanging="360"/>
        <w:jc w:val="left"/>
      </w:pPr>
      <w:rPr>
        <w:rFonts w:ascii="Calibri" w:eastAsia="Calibri" w:hAnsi="Calibri" w:cs="Calibri" w:hint="default"/>
        <w:spacing w:val="0"/>
        <w:w w:val="100"/>
        <w:sz w:val="23"/>
        <w:szCs w:val="23"/>
        <w:lang w:val="en-US" w:eastAsia="en-US" w:bidi="en-US"/>
      </w:rPr>
    </w:lvl>
    <w:lvl w:ilvl="1" w:tplc="4D74BCE4">
      <w:numFmt w:val="bullet"/>
      <w:lvlText w:val=""/>
      <w:lvlJc w:val="left"/>
      <w:pPr>
        <w:ind w:left="1540" w:hanging="360"/>
      </w:pPr>
      <w:rPr>
        <w:rFonts w:ascii="Symbol" w:eastAsia="Symbol" w:hAnsi="Symbol" w:cs="Symbol" w:hint="default"/>
        <w:w w:val="100"/>
        <w:sz w:val="23"/>
        <w:szCs w:val="23"/>
        <w:lang w:val="en-US" w:eastAsia="en-US" w:bidi="en-US"/>
      </w:rPr>
    </w:lvl>
    <w:lvl w:ilvl="2" w:tplc="0D640C94">
      <w:numFmt w:val="bullet"/>
      <w:lvlText w:val="•"/>
      <w:lvlJc w:val="left"/>
      <w:pPr>
        <w:ind w:left="2588" w:hanging="360"/>
      </w:pPr>
      <w:rPr>
        <w:rFonts w:hint="default"/>
        <w:lang w:val="en-US" w:eastAsia="en-US" w:bidi="en-US"/>
      </w:rPr>
    </w:lvl>
    <w:lvl w:ilvl="3" w:tplc="D3448CA2">
      <w:numFmt w:val="bullet"/>
      <w:lvlText w:val="•"/>
      <w:lvlJc w:val="left"/>
      <w:pPr>
        <w:ind w:left="3637" w:hanging="360"/>
      </w:pPr>
      <w:rPr>
        <w:rFonts w:hint="default"/>
        <w:lang w:val="en-US" w:eastAsia="en-US" w:bidi="en-US"/>
      </w:rPr>
    </w:lvl>
    <w:lvl w:ilvl="4" w:tplc="AE5CA940">
      <w:numFmt w:val="bullet"/>
      <w:lvlText w:val="•"/>
      <w:lvlJc w:val="left"/>
      <w:pPr>
        <w:ind w:left="4686" w:hanging="360"/>
      </w:pPr>
      <w:rPr>
        <w:rFonts w:hint="default"/>
        <w:lang w:val="en-US" w:eastAsia="en-US" w:bidi="en-US"/>
      </w:rPr>
    </w:lvl>
    <w:lvl w:ilvl="5" w:tplc="8CC6FA42">
      <w:numFmt w:val="bullet"/>
      <w:lvlText w:val="•"/>
      <w:lvlJc w:val="left"/>
      <w:pPr>
        <w:ind w:left="5735" w:hanging="360"/>
      </w:pPr>
      <w:rPr>
        <w:rFonts w:hint="default"/>
        <w:lang w:val="en-US" w:eastAsia="en-US" w:bidi="en-US"/>
      </w:rPr>
    </w:lvl>
    <w:lvl w:ilvl="6" w:tplc="3F8EB9D4">
      <w:numFmt w:val="bullet"/>
      <w:lvlText w:val="•"/>
      <w:lvlJc w:val="left"/>
      <w:pPr>
        <w:ind w:left="6784" w:hanging="360"/>
      </w:pPr>
      <w:rPr>
        <w:rFonts w:hint="default"/>
        <w:lang w:val="en-US" w:eastAsia="en-US" w:bidi="en-US"/>
      </w:rPr>
    </w:lvl>
    <w:lvl w:ilvl="7" w:tplc="AAB2F162">
      <w:numFmt w:val="bullet"/>
      <w:lvlText w:val="•"/>
      <w:lvlJc w:val="left"/>
      <w:pPr>
        <w:ind w:left="7833" w:hanging="360"/>
      </w:pPr>
      <w:rPr>
        <w:rFonts w:hint="default"/>
        <w:lang w:val="en-US" w:eastAsia="en-US" w:bidi="en-US"/>
      </w:rPr>
    </w:lvl>
    <w:lvl w:ilvl="8" w:tplc="DDEC6BE4">
      <w:numFmt w:val="bullet"/>
      <w:lvlText w:val="•"/>
      <w:lvlJc w:val="left"/>
      <w:pPr>
        <w:ind w:left="8882"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CF0466"/>
    <w:rsid w:val="006E394C"/>
    <w:rsid w:val="00CF0466"/>
    <w:rsid w:val="00DD23E5"/>
    <w:rsid w:val="00F80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3E4BAC-BE9C-4126-AEDB-F29191C1E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100"/>
      <w:outlineLvl w:val="0"/>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154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D23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3E5"/>
    <w:rPr>
      <w:rFonts w:ascii="Segoe UI" w:eastAsia="Calibri" w:hAnsi="Segoe UI" w:cs="Segoe UI"/>
      <w:sz w:val="18"/>
      <w:szCs w:val="18"/>
      <w:lang w:bidi="en-US"/>
    </w:rPr>
  </w:style>
  <w:style w:type="character" w:styleId="Hyperlink">
    <w:name w:val="Hyperlink"/>
    <w:basedOn w:val="DefaultParagraphFont"/>
    <w:uiPriority w:val="99"/>
    <w:unhideWhenUsed/>
    <w:rsid w:val="00F809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 Horger</dc:creator>
  <cp:lastModifiedBy>Saint Luke</cp:lastModifiedBy>
  <cp:revision>3</cp:revision>
  <cp:lastPrinted>2019-10-02T18:18:00Z</cp:lastPrinted>
  <dcterms:created xsi:type="dcterms:W3CDTF">2019-10-02T18:12:00Z</dcterms:created>
  <dcterms:modified xsi:type="dcterms:W3CDTF">2020-09-30T13:00:00Z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2016-08-28T00:00:00Z</vt:filetime>
  </property>
  <property fmtid="{D5CDD505-2E9C-101B-9397-08002B2CF9AE}" pid="3" name="Creator">
    <vt:lpwstr>Microsoft® Word 2010</vt:lpwstr>
  </property>
  <property fmtid="{D5CDD505-2E9C-101B-9397-08002B2CF9AE}" pid="4" name="LastSaved">
    <vt:filetime>2019-10-02T00:00:00Z</vt:filetime>
  </property>
</Properties>
</file>